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61" w:rsidRDefault="00363D61" w:rsidP="00363D61">
      <w:pPr>
        <w:pStyle w:val="MediumGrid1-Accent21"/>
        <w:spacing w:after="200" w:line="276" w:lineRule="auto"/>
        <w:ind w:left="0"/>
        <w:rPr>
          <w:rFonts w:ascii="Garamond" w:hAnsi="Garamond"/>
          <w:b/>
          <w:iCs/>
          <w:smallCaps/>
        </w:rPr>
      </w:pPr>
      <w:r w:rsidRPr="00D67E23">
        <w:rPr>
          <w:rFonts w:ascii="Garamond" w:hAnsi="Garamond"/>
          <w:b/>
          <w:iCs/>
          <w:smallCaps/>
        </w:rPr>
        <w:t xml:space="preserve">NYAM </w:t>
      </w:r>
      <w:r>
        <w:rPr>
          <w:rFonts w:ascii="Garamond" w:hAnsi="Garamond"/>
          <w:b/>
          <w:iCs/>
          <w:smallCaps/>
        </w:rPr>
        <w:t>Primary Care and Population Health Working Group</w:t>
      </w:r>
    </w:p>
    <w:p w:rsidR="00363D61" w:rsidRPr="00363D61" w:rsidRDefault="00363D61" w:rsidP="00363D61">
      <w:pPr>
        <w:pStyle w:val="MediumGrid1-Accent21"/>
        <w:spacing w:after="200" w:line="276" w:lineRule="auto"/>
        <w:ind w:left="0"/>
        <w:rPr>
          <w:rFonts w:ascii="Garamond" w:hAnsi="Garamond"/>
          <w:i/>
          <w:iCs/>
        </w:rPr>
      </w:pPr>
      <w:r w:rsidRPr="00363D61">
        <w:rPr>
          <w:rFonts w:ascii="Garamond" w:hAnsi="Garamond"/>
          <w:i/>
          <w:iCs/>
        </w:rPr>
        <w:t>Literature Survey</w:t>
      </w:r>
      <w:bookmarkStart w:id="0" w:name="_GoBack"/>
      <w:bookmarkEnd w:id="0"/>
    </w:p>
    <w:p w:rsidR="00363D61" w:rsidRDefault="00363D61" w:rsidP="00363D61">
      <w:pPr>
        <w:pStyle w:val="MediumGrid1-Accent21"/>
        <w:spacing w:after="200" w:line="276" w:lineRule="auto"/>
        <w:ind w:left="0"/>
        <w:rPr>
          <w:rFonts w:ascii="Garamond" w:hAnsi="Garamond"/>
          <w:b/>
          <w:iCs/>
          <w:smallCaps/>
        </w:rPr>
      </w:pPr>
      <w:r w:rsidRPr="00363D61">
        <w:rPr>
          <w:rFonts w:ascii="Garamond" w:hAnsi="Garamond"/>
          <w:b/>
          <w:iCs/>
          <w:smallCaps/>
          <w:noProof/>
        </w:rPr>
        <mc:AlternateContent>
          <mc:Choice Requires="wps">
            <w:drawing>
              <wp:anchor distT="0" distB="0" distL="114300" distR="114300" simplePos="0" relativeHeight="251659264" behindDoc="0" locked="0" layoutInCell="1" allowOverlap="1" wp14:anchorId="3B20D68E" wp14:editId="75D3DBE6">
                <wp:simplePos x="0" y="0"/>
                <wp:positionH relativeFrom="column">
                  <wp:posOffset>7620</wp:posOffset>
                </wp:positionH>
                <wp:positionV relativeFrom="paragraph">
                  <wp:posOffset>39370</wp:posOffset>
                </wp:positionV>
                <wp:extent cx="5913120" cy="0"/>
                <wp:effectExtent l="0" t="0" r="11430" b="19050"/>
                <wp:wrapNone/>
                <wp:docPr id="1" name="Straight Connector 1"/>
                <wp:cNvGraphicFramePr/>
                <a:graphic xmlns:a="http://schemas.openxmlformats.org/drawingml/2006/main">
                  <a:graphicData uri="http://schemas.microsoft.com/office/word/2010/wordprocessingShape">
                    <wps:wsp>
                      <wps:cNvCnPr/>
                      <wps:spPr>
                        <a:xfrm flipH="1">
                          <a:off x="0" y="0"/>
                          <a:ext cx="591312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1pt" to="466.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" strokecolor="black [3213]" strokeweight="1.25pt"/>
            </w:pict>
          </mc:Fallback>
        </mc:AlternateContent>
      </w:r>
    </w:p>
    <w:p w:rsidR="00363D61" w:rsidRPr="004408AF" w:rsidRDefault="00363D61" w:rsidP="004561AF">
      <w:pPr>
        <w:pStyle w:val="MediumGrid1-Accent21"/>
        <w:ind w:left="0"/>
        <w:rPr>
          <w:rFonts w:ascii="Garamond" w:hAnsi="Garamond"/>
          <w:iCs/>
          <w:sz w:val="22"/>
          <w:szCs w:val="22"/>
        </w:rPr>
      </w:pPr>
      <w:r w:rsidRPr="004408AF">
        <w:rPr>
          <w:rFonts w:ascii="Garamond" w:hAnsi="Garamond"/>
          <w:iCs/>
          <w:sz w:val="22"/>
          <w:szCs w:val="22"/>
        </w:rPr>
        <w:t xml:space="preserve">Recent months have witnessed an upsurge of interest in the concept of population health.  This interest is reflected in the publication of original research, scholarly commentaries, and the output of expert committees.  </w:t>
      </w:r>
      <w:r w:rsidR="004561AF" w:rsidRPr="004408AF">
        <w:rPr>
          <w:rFonts w:ascii="Garamond" w:hAnsi="Garamond"/>
          <w:iCs/>
          <w:sz w:val="22"/>
          <w:szCs w:val="22"/>
        </w:rPr>
        <w:t>A comprehensive survey of the peer-reviewed and grey literature was conducted to gather these resources in an easily-accessible location—and thus to inform the deliberations of this working group.</w:t>
      </w:r>
    </w:p>
    <w:p w:rsidR="004561AF" w:rsidRPr="004408AF" w:rsidRDefault="004561AF" w:rsidP="004561AF">
      <w:pPr>
        <w:pStyle w:val="MediumGrid1-Accent21"/>
        <w:ind w:left="0"/>
        <w:rPr>
          <w:rFonts w:ascii="Garamond" w:hAnsi="Garamond"/>
          <w:iCs/>
          <w:sz w:val="22"/>
          <w:szCs w:val="22"/>
        </w:rPr>
      </w:pPr>
    </w:p>
    <w:p w:rsidR="004561AF" w:rsidRPr="004408AF" w:rsidRDefault="004561AF" w:rsidP="004561AF">
      <w:pPr>
        <w:pStyle w:val="MediumGrid1-Accent21"/>
        <w:ind w:left="0"/>
        <w:rPr>
          <w:rFonts w:ascii="Garamond" w:hAnsi="Garamond"/>
          <w:iCs/>
          <w:sz w:val="22"/>
          <w:szCs w:val="22"/>
        </w:rPr>
      </w:pPr>
      <w:r w:rsidRPr="004408AF">
        <w:rPr>
          <w:rFonts w:ascii="Garamond" w:hAnsi="Garamond"/>
          <w:iCs/>
          <w:sz w:val="22"/>
          <w:szCs w:val="22"/>
        </w:rPr>
        <w:t xml:space="preserve">The literature survey was </w:t>
      </w:r>
      <w:r w:rsidR="00F05F07" w:rsidRPr="004408AF">
        <w:rPr>
          <w:rFonts w:ascii="Garamond" w:hAnsi="Garamond"/>
          <w:iCs/>
          <w:sz w:val="22"/>
          <w:szCs w:val="22"/>
        </w:rPr>
        <w:t>seeded with</w:t>
      </w:r>
      <w:r w:rsidRPr="004408AF">
        <w:rPr>
          <w:rFonts w:ascii="Garamond" w:hAnsi="Garamond"/>
          <w:iCs/>
          <w:sz w:val="22"/>
          <w:szCs w:val="22"/>
        </w:rPr>
        <w:t xml:space="preserve"> the following organizing principles:</w:t>
      </w:r>
    </w:p>
    <w:p w:rsidR="004561AF" w:rsidRPr="004408AF" w:rsidRDefault="004561AF" w:rsidP="004561AF">
      <w:pPr>
        <w:pStyle w:val="MediumGrid1-Accent21"/>
        <w:numPr>
          <w:ilvl w:val="0"/>
          <w:numId w:val="1"/>
        </w:numPr>
        <w:rPr>
          <w:rFonts w:ascii="Garamond" w:hAnsi="Garamond"/>
          <w:iCs/>
          <w:sz w:val="22"/>
          <w:szCs w:val="22"/>
        </w:rPr>
      </w:pPr>
      <w:r w:rsidRPr="004408AF">
        <w:rPr>
          <w:rFonts w:ascii="Garamond" w:hAnsi="Garamond"/>
          <w:iCs/>
          <w:sz w:val="22"/>
          <w:szCs w:val="22"/>
        </w:rPr>
        <w:t>Population health is defined as the health outcomes of a group of individuals, including the distribution of outcomes within the group.  (</w:t>
      </w:r>
      <w:proofErr w:type="spellStart"/>
      <w:r w:rsidRPr="004408AF">
        <w:rPr>
          <w:rFonts w:ascii="Garamond" w:hAnsi="Garamond"/>
          <w:iCs/>
          <w:sz w:val="22"/>
          <w:szCs w:val="22"/>
        </w:rPr>
        <w:t>Kindig</w:t>
      </w:r>
      <w:proofErr w:type="spellEnd"/>
      <w:r w:rsidRPr="004408AF">
        <w:rPr>
          <w:rFonts w:ascii="Garamond" w:hAnsi="Garamond"/>
          <w:iCs/>
          <w:sz w:val="22"/>
          <w:szCs w:val="22"/>
        </w:rPr>
        <w:t xml:space="preserve"> and </w:t>
      </w:r>
      <w:proofErr w:type="spellStart"/>
      <w:r w:rsidRPr="004408AF">
        <w:rPr>
          <w:rFonts w:ascii="Garamond" w:hAnsi="Garamond"/>
          <w:iCs/>
          <w:sz w:val="22"/>
          <w:szCs w:val="22"/>
        </w:rPr>
        <w:t>Stoddart</w:t>
      </w:r>
      <w:proofErr w:type="spellEnd"/>
      <w:r w:rsidRPr="004408AF">
        <w:rPr>
          <w:rFonts w:ascii="Garamond" w:hAnsi="Garamond"/>
          <w:iCs/>
          <w:sz w:val="22"/>
          <w:szCs w:val="22"/>
        </w:rPr>
        <w:t>, 2003)</w:t>
      </w:r>
    </w:p>
    <w:p w:rsidR="004561AF" w:rsidRPr="004408AF" w:rsidRDefault="004561AF" w:rsidP="004561AF">
      <w:pPr>
        <w:pStyle w:val="MediumGrid1-Accent21"/>
        <w:numPr>
          <w:ilvl w:val="0"/>
          <w:numId w:val="1"/>
        </w:numPr>
        <w:rPr>
          <w:rFonts w:ascii="Garamond" w:hAnsi="Garamond"/>
          <w:iCs/>
          <w:sz w:val="22"/>
          <w:szCs w:val="22"/>
        </w:rPr>
      </w:pPr>
      <w:r w:rsidRPr="004408AF">
        <w:rPr>
          <w:rFonts w:ascii="Garamond" w:hAnsi="Garamond"/>
          <w:iCs/>
          <w:sz w:val="22"/>
          <w:szCs w:val="22"/>
        </w:rPr>
        <w:t>Social determinants of health are broadly construed and include behavioral factors, community influences, and structural conditions.  (Dahlgren and Whitehead, 1991)</w:t>
      </w:r>
    </w:p>
    <w:p w:rsidR="004561AF" w:rsidRPr="004408AF" w:rsidRDefault="004561AF" w:rsidP="004561AF">
      <w:pPr>
        <w:pStyle w:val="MediumGrid1-Accent21"/>
        <w:numPr>
          <w:ilvl w:val="0"/>
          <w:numId w:val="1"/>
        </w:numPr>
        <w:rPr>
          <w:rFonts w:ascii="Garamond" w:hAnsi="Garamond"/>
          <w:iCs/>
          <w:sz w:val="22"/>
          <w:szCs w:val="22"/>
        </w:rPr>
      </w:pPr>
      <w:r w:rsidRPr="004408AF">
        <w:rPr>
          <w:rFonts w:ascii="Garamond" w:hAnsi="Garamond"/>
          <w:iCs/>
          <w:sz w:val="22"/>
          <w:szCs w:val="22"/>
        </w:rPr>
        <w:t>Improved population health should be a central priority for health reform in the United States</w:t>
      </w:r>
    </w:p>
    <w:p w:rsidR="004561AF" w:rsidRPr="004408AF" w:rsidRDefault="004561AF" w:rsidP="004561AF">
      <w:pPr>
        <w:pStyle w:val="MediumGrid1-Accent21"/>
        <w:numPr>
          <w:ilvl w:val="0"/>
          <w:numId w:val="1"/>
        </w:numPr>
        <w:rPr>
          <w:rFonts w:ascii="Garamond" w:hAnsi="Garamond"/>
          <w:iCs/>
          <w:sz w:val="22"/>
          <w:szCs w:val="22"/>
        </w:rPr>
      </w:pPr>
      <w:r w:rsidRPr="004408AF">
        <w:rPr>
          <w:rFonts w:ascii="Garamond" w:hAnsi="Garamond"/>
          <w:iCs/>
          <w:sz w:val="22"/>
          <w:szCs w:val="22"/>
        </w:rPr>
        <w:t>A population health approach should include:</w:t>
      </w:r>
    </w:p>
    <w:p w:rsidR="004561AF" w:rsidRPr="004408AF" w:rsidRDefault="004561AF" w:rsidP="004561AF">
      <w:pPr>
        <w:pStyle w:val="MediumGrid1-Accent21"/>
        <w:numPr>
          <w:ilvl w:val="1"/>
          <w:numId w:val="2"/>
        </w:numPr>
        <w:rPr>
          <w:rFonts w:ascii="Garamond" w:hAnsi="Garamond"/>
          <w:iCs/>
          <w:sz w:val="22"/>
          <w:szCs w:val="22"/>
        </w:rPr>
      </w:pPr>
      <w:r w:rsidRPr="004408AF">
        <w:rPr>
          <w:rFonts w:ascii="Garamond" w:hAnsi="Garamond"/>
          <w:iCs/>
          <w:sz w:val="22"/>
          <w:szCs w:val="22"/>
        </w:rPr>
        <w:t>An emphasis on the role of primary care</w:t>
      </w:r>
    </w:p>
    <w:p w:rsidR="004561AF" w:rsidRPr="004408AF" w:rsidRDefault="004561AF" w:rsidP="004561AF">
      <w:pPr>
        <w:pStyle w:val="MediumGrid1-Accent21"/>
        <w:numPr>
          <w:ilvl w:val="1"/>
          <w:numId w:val="2"/>
        </w:numPr>
        <w:rPr>
          <w:rFonts w:ascii="Garamond" w:hAnsi="Garamond"/>
          <w:iCs/>
          <w:sz w:val="22"/>
          <w:szCs w:val="22"/>
        </w:rPr>
      </w:pPr>
      <w:r w:rsidRPr="004408AF">
        <w:rPr>
          <w:rFonts w:ascii="Garamond" w:hAnsi="Garamond"/>
          <w:iCs/>
          <w:sz w:val="22"/>
          <w:szCs w:val="22"/>
        </w:rPr>
        <w:t>Alignment of financial incentives and metrics for accountability</w:t>
      </w:r>
    </w:p>
    <w:p w:rsidR="004561AF" w:rsidRPr="004408AF" w:rsidRDefault="004561AF" w:rsidP="004561AF">
      <w:pPr>
        <w:pStyle w:val="MediumGrid1-Accent21"/>
        <w:numPr>
          <w:ilvl w:val="1"/>
          <w:numId w:val="2"/>
        </w:numPr>
        <w:rPr>
          <w:rFonts w:ascii="Garamond" w:hAnsi="Garamond"/>
          <w:iCs/>
          <w:sz w:val="22"/>
          <w:szCs w:val="22"/>
        </w:rPr>
      </w:pPr>
      <w:r w:rsidRPr="004408AF">
        <w:rPr>
          <w:rFonts w:ascii="Garamond" w:hAnsi="Garamond"/>
          <w:iCs/>
          <w:sz w:val="22"/>
          <w:szCs w:val="22"/>
        </w:rPr>
        <w:t>A geographic orientation for new models of health care delivery</w:t>
      </w:r>
    </w:p>
    <w:p w:rsidR="004561AF" w:rsidRPr="004408AF" w:rsidRDefault="004561AF" w:rsidP="004561AF">
      <w:pPr>
        <w:pStyle w:val="MediumGrid1-Accent21"/>
        <w:ind w:left="0"/>
        <w:rPr>
          <w:rFonts w:ascii="Garamond" w:hAnsi="Garamond"/>
          <w:iCs/>
          <w:sz w:val="22"/>
          <w:szCs w:val="22"/>
        </w:rPr>
      </w:pPr>
    </w:p>
    <w:p w:rsidR="004561AF" w:rsidRPr="004408AF" w:rsidRDefault="004561AF" w:rsidP="004561AF">
      <w:pPr>
        <w:pStyle w:val="MediumGrid1-Accent21"/>
        <w:ind w:left="0"/>
        <w:rPr>
          <w:rFonts w:ascii="Garamond" w:hAnsi="Garamond"/>
          <w:iCs/>
          <w:sz w:val="22"/>
          <w:szCs w:val="22"/>
        </w:rPr>
      </w:pPr>
      <w:r w:rsidRPr="004408AF">
        <w:rPr>
          <w:rFonts w:ascii="Garamond" w:hAnsi="Garamond"/>
          <w:iCs/>
          <w:sz w:val="22"/>
          <w:szCs w:val="22"/>
        </w:rPr>
        <w:t>An initial inventory revealed a small number of particularly valuable meta-sources:</w:t>
      </w:r>
    </w:p>
    <w:p w:rsidR="00336316" w:rsidRPr="004408AF" w:rsidRDefault="00336316" w:rsidP="004561AF">
      <w:pPr>
        <w:pStyle w:val="MediumGrid1-Accent21"/>
        <w:numPr>
          <w:ilvl w:val="0"/>
          <w:numId w:val="3"/>
        </w:numPr>
        <w:rPr>
          <w:rFonts w:ascii="Garamond" w:hAnsi="Garamond"/>
          <w:iCs/>
          <w:sz w:val="22"/>
          <w:szCs w:val="22"/>
        </w:rPr>
      </w:pPr>
      <w:r w:rsidRPr="004408AF">
        <w:rPr>
          <w:rFonts w:ascii="Garamond" w:hAnsi="Garamond"/>
          <w:iCs/>
          <w:sz w:val="22"/>
          <w:szCs w:val="22"/>
        </w:rPr>
        <w:t>2009 NYAM “Compendium of Proven Community-Based Prevention Programs,”</w:t>
      </w:r>
      <w:r w:rsidR="0015476B" w:rsidRPr="004408AF">
        <w:rPr>
          <w:rFonts w:ascii="Garamond" w:hAnsi="Garamond"/>
          <w:iCs/>
          <w:sz w:val="22"/>
          <w:szCs w:val="22"/>
        </w:rPr>
        <w:t xml:space="preserve"> which </w:t>
      </w:r>
      <w:r w:rsidR="0015476B" w:rsidRPr="004408AF">
        <w:rPr>
          <w:rFonts w:ascii="Garamond" w:hAnsi="Garamond"/>
          <w:sz w:val="22"/>
          <w:szCs w:val="22"/>
        </w:rPr>
        <w:t>identified high-quality studies evaluating the effectiveness of community-based prevention.  The compendium focused on interventions designed to reduce tobacco use, increase physical activity, and improve eating habits.</w:t>
      </w:r>
    </w:p>
    <w:p w:rsidR="004561AF" w:rsidRDefault="004561AF" w:rsidP="004561AF">
      <w:pPr>
        <w:pStyle w:val="MediumGrid1-Accent21"/>
        <w:numPr>
          <w:ilvl w:val="0"/>
          <w:numId w:val="3"/>
        </w:numPr>
        <w:rPr>
          <w:rFonts w:ascii="Garamond" w:hAnsi="Garamond"/>
          <w:iCs/>
          <w:sz w:val="22"/>
          <w:szCs w:val="22"/>
        </w:rPr>
      </w:pPr>
      <w:r w:rsidRPr="004408AF">
        <w:rPr>
          <w:rFonts w:ascii="Garamond" w:hAnsi="Garamond"/>
          <w:iCs/>
          <w:sz w:val="22"/>
          <w:szCs w:val="22"/>
        </w:rPr>
        <w:t xml:space="preserve">2010 Special Collection of the journal </w:t>
      </w:r>
      <w:r w:rsidRPr="004408AF">
        <w:rPr>
          <w:rFonts w:ascii="Garamond" w:hAnsi="Garamond"/>
          <w:i/>
          <w:iCs/>
          <w:sz w:val="22"/>
          <w:szCs w:val="22"/>
        </w:rPr>
        <w:t>Preventing Chronic Disease</w:t>
      </w:r>
      <w:r w:rsidRPr="004408AF">
        <w:rPr>
          <w:rFonts w:ascii="Garamond" w:hAnsi="Garamond"/>
          <w:iCs/>
          <w:sz w:val="22"/>
          <w:szCs w:val="22"/>
        </w:rPr>
        <w:t xml:space="preserve">, which focused on </w:t>
      </w:r>
      <w:r w:rsidR="00336316" w:rsidRPr="004408AF">
        <w:rPr>
          <w:rFonts w:ascii="Garamond" w:hAnsi="Garamond"/>
          <w:iCs/>
          <w:sz w:val="22"/>
          <w:szCs w:val="22"/>
        </w:rPr>
        <w:t xml:space="preserve">the </w:t>
      </w:r>
      <w:r w:rsidRPr="004408AF">
        <w:rPr>
          <w:rFonts w:ascii="Garamond" w:hAnsi="Garamond"/>
          <w:iCs/>
          <w:sz w:val="22"/>
          <w:szCs w:val="22"/>
        </w:rPr>
        <w:t>Mobilizing Action Toward Community Health (MATCH) project</w:t>
      </w:r>
      <w:r w:rsidR="00336316" w:rsidRPr="004408AF">
        <w:rPr>
          <w:rFonts w:ascii="Garamond" w:hAnsi="Garamond"/>
          <w:iCs/>
          <w:sz w:val="22"/>
          <w:szCs w:val="22"/>
        </w:rPr>
        <w:t>.  MATCH was funded by the Robert Wood Johnson Foundation and resulted in the County Health Rankings as well as 24 essays on metrics, incentives, and partnerships for population health included in this Special Collection.</w:t>
      </w:r>
    </w:p>
    <w:p w:rsidR="00AC0C6F" w:rsidRPr="00AC0C6F" w:rsidRDefault="00AC0C6F" w:rsidP="00AC0C6F">
      <w:pPr>
        <w:pStyle w:val="MediumGrid1-Accent21"/>
        <w:numPr>
          <w:ilvl w:val="0"/>
          <w:numId w:val="3"/>
        </w:numPr>
        <w:rPr>
          <w:rFonts w:ascii="Garamond" w:hAnsi="Garamond"/>
          <w:iCs/>
          <w:sz w:val="22"/>
          <w:szCs w:val="22"/>
        </w:rPr>
      </w:pPr>
      <w:r>
        <w:rPr>
          <w:rFonts w:ascii="Garamond" w:hAnsi="Garamond"/>
          <w:iCs/>
          <w:sz w:val="22"/>
          <w:szCs w:val="22"/>
        </w:rPr>
        <w:t>2012 Institute for Alternative Futures report entitled “</w:t>
      </w:r>
      <w:r w:rsidRPr="009A6EF0">
        <w:rPr>
          <w:rFonts w:ascii="Garamond" w:hAnsi="Garamond"/>
          <w:iCs/>
          <w:sz w:val="22"/>
          <w:szCs w:val="22"/>
        </w:rPr>
        <w:t>Community Health Centers Leveraging the Social Determinants of Health</w:t>
      </w:r>
      <w:r>
        <w:rPr>
          <w:rFonts w:ascii="Garamond" w:hAnsi="Garamond"/>
          <w:iCs/>
          <w:sz w:val="22"/>
          <w:szCs w:val="22"/>
        </w:rPr>
        <w:t>,” which proposes a framework for health care providers to address social determinants of health developed by CHC leaders.</w:t>
      </w:r>
    </w:p>
    <w:p w:rsidR="00336316" w:rsidRPr="004408AF" w:rsidRDefault="00336316" w:rsidP="004561AF">
      <w:pPr>
        <w:pStyle w:val="MediumGrid1-Accent21"/>
        <w:numPr>
          <w:ilvl w:val="0"/>
          <w:numId w:val="3"/>
        </w:numPr>
        <w:rPr>
          <w:rFonts w:ascii="Garamond" w:hAnsi="Garamond"/>
          <w:iCs/>
          <w:sz w:val="22"/>
          <w:szCs w:val="22"/>
        </w:rPr>
      </w:pPr>
      <w:r w:rsidRPr="004408AF">
        <w:rPr>
          <w:rFonts w:ascii="Garamond" w:hAnsi="Garamond"/>
          <w:iCs/>
          <w:sz w:val="22"/>
          <w:szCs w:val="22"/>
        </w:rPr>
        <w:t>2012 Institute of Medicine</w:t>
      </w:r>
      <w:r w:rsidR="007D0AA8">
        <w:rPr>
          <w:rFonts w:ascii="Garamond" w:hAnsi="Garamond"/>
          <w:iCs/>
          <w:sz w:val="22"/>
          <w:szCs w:val="22"/>
        </w:rPr>
        <w:t xml:space="preserve"> report</w:t>
      </w:r>
      <w:r w:rsidRPr="004408AF">
        <w:rPr>
          <w:rFonts w:ascii="Garamond" w:hAnsi="Garamond"/>
          <w:iCs/>
          <w:sz w:val="22"/>
          <w:szCs w:val="22"/>
        </w:rPr>
        <w:t xml:space="preserve"> “Primary Care and Public Health: Promoting Integration to Improve Population Health,” focused on examples of effective public health an</w:t>
      </w:r>
      <w:r w:rsidR="007D0AA8">
        <w:rPr>
          <w:rFonts w:ascii="Garamond" w:hAnsi="Garamond"/>
          <w:iCs/>
          <w:sz w:val="22"/>
          <w:szCs w:val="22"/>
        </w:rPr>
        <w:t xml:space="preserve">d primary care integration and </w:t>
      </w:r>
      <w:r w:rsidRPr="004408AF">
        <w:rPr>
          <w:rFonts w:ascii="Garamond" w:hAnsi="Garamond"/>
          <w:iCs/>
          <w:sz w:val="22"/>
          <w:szCs w:val="22"/>
        </w:rPr>
        <w:t xml:space="preserve">factors that promote these efforts.  There was a specific </w:t>
      </w:r>
      <w:r w:rsidR="007D0AA8">
        <w:rPr>
          <w:rFonts w:ascii="Garamond" w:hAnsi="Garamond"/>
          <w:iCs/>
          <w:sz w:val="22"/>
          <w:szCs w:val="22"/>
        </w:rPr>
        <w:t xml:space="preserve">focus </w:t>
      </w:r>
      <w:r w:rsidRPr="004408AF">
        <w:rPr>
          <w:rFonts w:ascii="Garamond" w:hAnsi="Garamond"/>
          <w:iCs/>
          <w:sz w:val="22"/>
          <w:szCs w:val="22"/>
        </w:rPr>
        <w:t>on Affordable Care Act provisions as well as coordination between HRSA-supported primary care systems and public health departments.</w:t>
      </w:r>
    </w:p>
    <w:p w:rsidR="00336316" w:rsidRPr="004408AF" w:rsidRDefault="00F05F07" w:rsidP="00F05F07">
      <w:pPr>
        <w:pStyle w:val="MediumGrid1-Accent21"/>
        <w:numPr>
          <w:ilvl w:val="0"/>
          <w:numId w:val="3"/>
        </w:numPr>
        <w:rPr>
          <w:rFonts w:ascii="Garamond" w:hAnsi="Garamond"/>
          <w:iCs/>
          <w:sz w:val="22"/>
          <w:szCs w:val="22"/>
        </w:rPr>
      </w:pPr>
      <w:r w:rsidRPr="004408AF">
        <w:rPr>
          <w:rFonts w:ascii="Garamond" w:hAnsi="Garamond"/>
          <w:iCs/>
          <w:sz w:val="22"/>
          <w:szCs w:val="22"/>
        </w:rPr>
        <w:t xml:space="preserve">2012 National Quality Foundation-commissioned “Environmental Scan of Integrated Approaches for Defining and Measuring Total Population Health,” </w:t>
      </w:r>
      <w:r w:rsidR="007D0AA8">
        <w:rPr>
          <w:rFonts w:ascii="Garamond" w:hAnsi="Garamond"/>
          <w:iCs/>
          <w:sz w:val="22"/>
          <w:szCs w:val="22"/>
        </w:rPr>
        <w:t>surveying</w:t>
      </w:r>
      <w:r w:rsidRPr="004408AF">
        <w:rPr>
          <w:rFonts w:ascii="Garamond" w:hAnsi="Garamond"/>
          <w:iCs/>
          <w:sz w:val="22"/>
          <w:szCs w:val="22"/>
        </w:rPr>
        <w:t xml:space="preserve"> efforts to measure and improve the health of total populations and subpopulations targeted or </w:t>
      </w:r>
      <w:r w:rsidR="007D0AA8">
        <w:rPr>
          <w:rFonts w:ascii="Garamond" w:hAnsi="Garamond"/>
          <w:iCs/>
          <w:sz w:val="22"/>
          <w:szCs w:val="22"/>
        </w:rPr>
        <w:t>directly served by clinical and</w:t>
      </w:r>
      <w:r w:rsidRPr="004408AF">
        <w:rPr>
          <w:rFonts w:ascii="Garamond" w:hAnsi="Garamond"/>
          <w:iCs/>
          <w:sz w:val="22"/>
          <w:szCs w:val="22"/>
        </w:rPr>
        <w:t xml:space="preserve"> public health system</w:t>
      </w:r>
      <w:r w:rsidR="007D0AA8">
        <w:rPr>
          <w:rFonts w:ascii="Garamond" w:hAnsi="Garamond"/>
          <w:iCs/>
          <w:sz w:val="22"/>
          <w:szCs w:val="22"/>
        </w:rPr>
        <w:t>s</w:t>
      </w:r>
      <w:r w:rsidRPr="004408AF">
        <w:rPr>
          <w:rFonts w:ascii="Garamond" w:hAnsi="Garamond"/>
          <w:iCs/>
          <w:sz w:val="22"/>
          <w:szCs w:val="22"/>
        </w:rPr>
        <w:t>.</w:t>
      </w:r>
    </w:p>
    <w:p w:rsidR="00F05F07" w:rsidRPr="004408AF" w:rsidRDefault="004408AF" w:rsidP="00F05F07">
      <w:pPr>
        <w:pStyle w:val="MediumGrid1-Accent21"/>
        <w:numPr>
          <w:ilvl w:val="0"/>
          <w:numId w:val="3"/>
        </w:numPr>
        <w:rPr>
          <w:rFonts w:ascii="Garamond" w:hAnsi="Garamond"/>
          <w:iCs/>
          <w:sz w:val="22"/>
          <w:szCs w:val="22"/>
        </w:rPr>
      </w:pPr>
      <w:r w:rsidRPr="004408AF">
        <w:rPr>
          <w:rFonts w:ascii="Garamond" w:hAnsi="Garamond"/>
          <w:iCs/>
          <w:sz w:val="22"/>
          <w:szCs w:val="22"/>
        </w:rPr>
        <w:t xml:space="preserve">2012 Supplement of the </w:t>
      </w:r>
      <w:r w:rsidRPr="004408AF">
        <w:rPr>
          <w:rFonts w:ascii="Garamond" w:hAnsi="Garamond"/>
          <w:i/>
          <w:iCs/>
          <w:sz w:val="22"/>
          <w:szCs w:val="22"/>
        </w:rPr>
        <w:t>American Journal of Public Health</w:t>
      </w:r>
      <w:r w:rsidRPr="004408AF">
        <w:rPr>
          <w:rFonts w:ascii="Garamond" w:hAnsi="Garamond"/>
          <w:iCs/>
          <w:sz w:val="22"/>
          <w:szCs w:val="22"/>
        </w:rPr>
        <w:t xml:space="preserve">, organized around the theme of primary care and public health integration.  16 articles describe strategic considerations, </w:t>
      </w:r>
      <w:proofErr w:type="spellStart"/>
      <w:r w:rsidRPr="004408AF">
        <w:rPr>
          <w:rFonts w:ascii="Garamond" w:hAnsi="Garamond"/>
          <w:iCs/>
          <w:sz w:val="22"/>
          <w:szCs w:val="22"/>
        </w:rPr>
        <w:t>methodologic</w:t>
      </w:r>
      <w:proofErr w:type="spellEnd"/>
      <w:r w:rsidRPr="004408AF">
        <w:rPr>
          <w:rFonts w:ascii="Garamond" w:hAnsi="Garamond"/>
          <w:iCs/>
          <w:sz w:val="22"/>
          <w:szCs w:val="22"/>
        </w:rPr>
        <w:t xml:space="preserve"> challenges, original research, and practice developments at this intersection.</w:t>
      </w:r>
    </w:p>
    <w:p w:rsidR="004408AF" w:rsidRDefault="00F05F07" w:rsidP="004408AF">
      <w:pPr>
        <w:pStyle w:val="MediumGrid1-Accent21"/>
        <w:numPr>
          <w:ilvl w:val="0"/>
          <w:numId w:val="3"/>
        </w:numPr>
        <w:rPr>
          <w:rFonts w:ascii="Garamond" w:hAnsi="Garamond"/>
          <w:iCs/>
          <w:sz w:val="22"/>
          <w:szCs w:val="22"/>
        </w:rPr>
      </w:pPr>
      <w:r w:rsidRPr="004408AF">
        <w:rPr>
          <w:rFonts w:ascii="Garamond" w:hAnsi="Garamond"/>
          <w:iCs/>
          <w:sz w:val="22"/>
          <w:szCs w:val="22"/>
        </w:rPr>
        <w:t>2012 Prevention Institute report on “The Intersection of Health Services and Community Environments,” with eight profiles of state-driven initiatives to advance population health.  These profiles were prepared in response to the Center for Medicare and Medicaid Innovation’s interest in the important role of states in facilitating such collaborations.</w:t>
      </w:r>
    </w:p>
    <w:p w:rsidR="004408AF" w:rsidRDefault="004408AF" w:rsidP="004408AF">
      <w:pPr>
        <w:pStyle w:val="MediumGrid1-Accent21"/>
        <w:ind w:left="0"/>
        <w:rPr>
          <w:rFonts w:ascii="Garamond" w:hAnsi="Garamond"/>
          <w:iCs/>
          <w:sz w:val="22"/>
          <w:szCs w:val="22"/>
        </w:rPr>
      </w:pPr>
    </w:p>
    <w:p w:rsidR="005C6BAF" w:rsidRDefault="004408AF" w:rsidP="004561AF">
      <w:pPr>
        <w:pStyle w:val="MediumGrid1-Accent21"/>
        <w:ind w:left="0"/>
        <w:rPr>
          <w:rFonts w:ascii="Garamond" w:hAnsi="Garamond"/>
          <w:iCs/>
          <w:sz w:val="22"/>
          <w:szCs w:val="22"/>
        </w:rPr>
      </w:pPr>
      <w:r>
        <w:rPr>
          <w:rFonts w:ascii="Garamond" w:hAnsi="Garamond"/>
          <w:iCs/>
          <w:sz w:val="22"/>
          <w:szCs w:val="22"/>
        </w:rPr>
        <w:t>Finally, all journal, book, and website citations from the NYAM compendium, the IOM report, and the NQF</w:t>
      </w:r>
      <w:r w:rsidR="005C6BAF">
        <w:rPr>
          <w:rFonts w:ascii="Garamond" w:hAnsi="Garamond"/>
          <w:iCs/>
          <w:sz w:val="22"/>
          <w:szCs w:val="22"/>
        </w:rPr>
        <w:t xml:space="preserve"> environmental scan were collated.  Full text for almost all of the journal citations was retrieved.  The full Special Collection of </w:t>
      </w:r>
      <w:r w:rsidR="005C6BAF">
        <w:rPr>
          <w:rFonts w:ascii="Garamond" w:hAnsi="Garamond"/>
          <w:i/>
          <w:iCs/>
          <w:sz w:val="22"/>
          <w:szCs w:val="22"/>
        </w:rPr>
        <w:t>Preventing Chronic Disease</w:t>
      </w:r>
      <w:r w:rsidR="005C6BAF">
        <w:rPr>
          <w:rFonts w:ascii="Garamond" w:hAnsi="Garamond"/>
          <w:iCs/>
          <w:sz w:val="22"/>
          <w:szCs w:val="22"/>
        </w:rPr>
        <w:t xml:space="preserve"> and the most relevant articles from the </w:t>
      </w:r>
      <w:r w:rsidR="005C6BAF">
        <w:rPr>
          <w:rFonts w:ascii="Garamond" w:hAnsi="Garamond"/>
          <w:i/>
          <w:iCs/>
          <w:sz w:val="22"/>
          <w:szCs w:val="22"/>
        </w:rPr>
        <w:t>American Journal of Public Health</w:t>
      </w:r>
      <w:r w:rsidR="005C6BAF">
        <w:rPr>
          <w:rFonts w:ascii="Garamond" w:hAnsi="Garamond"/>
          <w:iCs/>
          <w:sz w:val="22"/>
          <w:szCs w:val="22"/>
        </w:rPr>
        <w:t xml:space="preserve"> supplement were also gathered together.  </w:t>
      </w:r>
    </w:p>
    <w:p w:rsidR="005C6BAF" w:rsidRDefault="005C6BAF" w:rsidP="004561AF">
      <w:pPr>
        <w:pStyle w:val="MediumGrid1-Accent21"/>
        <w:ind w:left="0"/>
        <w:rPr>
          <w:rFonts w:ascii="Garamond" w:hAnsi="Garamond"/>
          <w:iCs/>
          <w:sz w:val="22"/>
          <w:szCs w:val="22"/>
        </w:rPr>
      </w:pPr>
    </w:p>
    <w:p w:rsidR="005C6BAF" w:rsidRPr="005C6BAF" w:rsidRDefault="005C6BAF" w:rsidP="004561AF">
      <w:pPr>
        <w:pStyle w:val="MediumGrid1-Accent21"/>
        <w:ind w:left="0"/>
        <w:rPr>
          <w:rFonts w:ascii="Garamond" w:hAnsi="Garamond"/>
          <w:iCs/>
          <w:sz w:val="22"/>
          <w:szCs w:val="22"/>
        </w:rPr>
      </w:pPr>
      <w:r>
        <w:rPr>
          <w:rFonts w:ascii="Garamond" w:hAnsi="Garamond"/>
          <w:iCs/>
          <w:sz w:val="22"/>
          <w:szCs w:val="22"/>
        </w:rPr>
        <w:t xml:space="preserve">These resources are accessible at: </w:t>
      </w:r>
      <w:r w:rsidR="00E64492">
        <w:fldChar w:fldCharType="begin"/>
      </w:r>
      <w:r w:rsidR="00E64492">
        <w:instrText xml:space="preserve"> HYPERLINK "https://www.dropbox.com/sh/qgvq5hu78kjrcxq/SZbFZyx2s6" \t "_blank" </w:instrText>
      </w:r>
      <w:r w:rsidR="00E64492">
        <w:fldChar w:fldCharType="separate"/>
      </w:r>
      <w:r w:rsidRPr="005C6BAF">
        <w:rPr>
          <w:rStyle w:val="Hyperlink"/>
          <w:rFonts w:ascii="Garamond" w:hAnsi="Garamond"/>
          <w:iCs/>
          <w:sz w:val="22"/>
          <w:szCs w:val="22"/>
        </w:rPr>
        <w:t>https://www.dropbox.com/sh/qgvq5hu78kjrcxq/SZbFZyx2s6</w:t>
      </w:r>
      <w:r w:rsidR="00E64492">
        <w:rPr>
          <w:rStyle w:val="Hyperlink"/>
          <w:rFonts w:ascii="Garamond" w:hAnsi="Garamond"/>
          <w:iCs/>
          <w:sz w:val="22"/>
          <w:szCs w:val="22"/>
        </w:rPr>
        <w:fldChar w:fldCharType="end"/>
      </w:r>
    </w:p>
    <w:sectPr w:rsidR="005C6BAF" w:rsidRPr="005C6BAF" w:rsidSect="007D0AA8">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03B02"/>
    <w:multiLevelType w:val="hybridMultilevel"/>
    <w:tmpl w:val="7AF0B6FC"/>
    <w:lvl w:ilvl="0" w:tplc="04090001">
      <w:start w:val="1"/>
      <w:numFmt w:val="bullet"/>
      <w:lvlText w:val=""/>
      <w:lvlJc w:val="left"/>
      <w:pPr>
        <w:ind w:left="360" w:hanging="360"/>
      </w:pPr>
      <w:rPr>
        <w:rFonts w:ascii="Symbol" w:hAnsi="Symbol" w:hint="default"/>
      </w:rPr>
    </w:lvl>
    <w:lvl w:ilvl="1" w:tplc="6A52625A">
      <w:numFmt w:val="bullet"/>
      <w:lvlText w:val="·"/>
      <w:lvlJc w:val="left"/>
      <w:pPr>
        <w:ind w:left="1215" w:hanging="495"/>
      </w:pPr>
      <w:rPr>
        <w:rFonts w:ascii="Garamond" w:eastAsia="MS Mincho" w:hAnsi="Garamond"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60566C5"/>
    <w:multiLevelType w:val="hybridMultilevel"/>
    <w:tmpl w:val="DDE2A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15" w:hanging="495"/>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4334B9A"/>
    <w:multiLevelType w:val="hybridMultilevel"/>
    <w:tmpl w:val="09820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61"/>
    <w:rsid w:val="0015476B"/>
    <w:rsid w:val="00336316"/>
    <w:rsid w:val="00363D61"/>
    <w:rsid w:val="004408AF"/>
    <w:rsid w:val="004561AF"/>
    <w:rsid w:val="004C2278"/>
    <w:rsid w:val="005C6BAF"/>
    <w:rsid w:val="007D0AA8"/>
    <w:rsid w:val="009A6EF0"/>
    <w:rsid w:val="00AC0C6F"/>
    <w:rsid w:val="00E64492"/>
    <w:rsid w:val="00F05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363D61"/>
    <w:pPr>
      <w:ind w:left="720"/>
      <w:contextualSpacing/>
    </w:pPr>
    <w:rPr>
      <w:rFonts w:ascii="Times New Roman" w:eastAsia="MS Mincho" w:hAnsi="Times New Roman" w:cs="Times New Roman"/>
      <w:sz w:val="24"/>
      <w:szCs w:val="24"/>
    </w:rPr>
  </w:style>
  <w:style w:type="character" w:styleId="Hyperlink">
    <w:name w:val="Hyperlink"/>
    <w:basedOn w:val="DefaultParagraphFont"/>
    <w:uiPriority w:val="99"/>
    <w:unhideWhenUsed/>
    <w:rsid w:val="005C6BAF"/>
    <w:rPr>
      <w:color w:val="0000FF" w:themeColor="hyperlink"/>
      <w:u w:val="single"/>
    </w:rPr>
  </w:style>
  <w:style w:type="character" w:styleId="FollowedHyperlink">
    <w:name w:val="FollowedHyperlink"/>
    <w:basedOn w:val="DefaultParagraphFont"/>
    <w:uiPriority w:val="99"/>
    <w:semiHidden/>
    <w:unhideWhenUsed/>
    <w:rsid w:val="005C6BA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363D61"/>
    <w:pPr>
      <w:ind w:left="720"/>
      <w:contextualSpacing/>
    </w:pPr>
    <w:rPr>
      <w:rFonts w:ascii="Times New Roman" w:eastAsia="MS Mincho" w:hAnsi="Times New Roman" w:cs="Times New Roman"/>
      <w:sz w:val="24"/>
      <w:szCs w:val="24"/>
    </w:rPr>
  </w:style>
  <w:style w:type="character" w:styleId="Hyperlink">
    <w:name w:val="Hyperlink"/>
    <w:basedOn w:val="DefaultParagraphFont"/>
    <w:uiPriority w:val="99"/>
    <w:unhideWhenUsed/>
    <w:rsid w:val="005C6BAF"/>
    <w:rPr>
      <w:color w:val="0000FF" w:themeColor="hyperlink"/>
      <w:u w:val="single"/>
    </w:rPr>
  </w:style>
  <w:style w:type="character" w:styleId="FollowedHyperlink">
    <w:name w:val="FollowedHyperlink"/>
    <w:basedOn w:val="DefaultParagraphFont"/>
    <w:uiPriority w:val="99"/>
    <w:semiHidden/>
    <w:unhideWhenUsed/>
    <w:rsid w:val="005C6B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30260">
      <w:bodyDiv w:val="1"/>
      <w:marLeft w:val="0"/>
      <w:marRight w:val="0"/>
      <w:marTop w:val="0"/>
      <w:marBottom w:val="0"/>
      <w:divBdr>
        <w:top w:val="none" w:sz="0" w:space="0" w:color="auto"/>
        <w:left w:val="none" w:sz="0" w:space="0" w:color="auto"/>
        <w:bottom w:val="none" w:sz="0" w:space="0" w:color="auto"/>
        <w:right w:val="none" w:sz="0" w:space="0" w:color="auto"/>
      </w:divBdr>
      <w:divsChild>
        <w:div w:id="1265847792">
          <w:marLeft w:val="0"/>
          <w:marRight w:val="0"/>
          <w:marTop w:val="100"/>
          <w:marBottom w:val="100"/>
          <w:divBdr>
            <w:top w:val="none" w:sz="0" w:space="0" w:color="auto"/>
            <w:left w:val="none" w:sz="0" w:space="0" w:color="auto"/>
            <w:bottom w:val="none" w:sz="0" w:space="0" w:color="auto"/>
            <w:right w:val="none" w:sz="0" w:space="0" w:color="auto"/>
          </w:divBdr>
        </w:div>
        <w:div w:id="513151098">
          <w:marLeft w:val="0"/>
          <w:marRight w:val="0"/>
          <w:marTop w:val="100"/>
          <w:marBottom w:val="100"/>
          <w:divBdr>
            <w:top w:val="none" w:sz="0" w:space="0" w:color="auto"/>
            <w:left w:val="none" w:sz="0" w:space="0" w:color="auto"/>
            <w:bottom w:val="none" w:sz="0" w:space="0" w:color="auto"/>
            <w:right w:val="none" w:sz="0" w:space="0" w:color="auto"/>
          </w:divBdr>
        </w:div>
        <w:div w:id="502281930">
          <w:marLeft w:val="0"/>
          <w:marRight w:val="0"/>
          <w:marTop w:val="100"/>
          <w:marBottom w:val="100"/>
          <w:divBdr>
            <w:top w:val="none" w:sz="0" w:space="0" w:color="auto"/>
            <w:left w:val="none" w:sz="0" w:space="0" w:color="auto"/>
            <w:bottom w:val="none" w:sz="0" w:space="0" w:color="auto"/>
            <w:right w:val="none" w:sz="0" w:space="0" w:color="auto"/>
          </w:divBdr>
        </w:div>
        <w:div w:id="156918662">
          <w:marLeft w:val="0"/>
          <w:marRight w:val="0"/>
          <w:marTop w:val="100"/>
          <w:marBottom w:val="100"/>
          <w:divBdr>
            <w:top w:val="none" w:sz="0" w:space="0" w:color="auto"/>
            <w:left w:val="none" w:sz="0" w:space="0" w:color="auto"/>
            <w:bottom w:val="none" w:sz="0" w:space="0" w:color="auto"/>
            <w:right w:val="none" w:sz="0" w:space="0" w:color="auto"/>
          </w:divBdr>
        </w:div>
        <w:div w:id="827402644">
          <w:marLeft w:val="0"/>
          <w:marRight w:val="0"/>
          <w:marTop w:val="100"/>
          <w:marBottom w:val="100"/>
          <w:divBdr>
            <w:top w:val="none" w:sz="0" w:space="0" w:color="auto"/>
            <w:left w:val="none" w:sz="0" w:space="0" w:color="auto"/>
            <w:bottom w:val="none" w:sz="0" w:space="0" w:color="auto"/>
            <w:right w:val="none" w:sz="0" w:space="0" w:color="auto"/>
          </w:divBdr>
        </w:div>
        <w:div w:id="566765835">
          <w:marLeft w:val="0"/>
          <w:marRight w:val="0"/>
          <w:marTop w:val="100"/>
          <w:marBottom w:val="100"/>
          <w:divBdr>
            <w:top w:val="none" w:sz="0" w:space="0" w:color="auto"/>
            <w:left w:val="none" w:sz="0" w:space="0" w:color="auto"/>
            <w:bottom w:val="none" w:sz="0" w:space="0" w:color="auto"/>
            <w:right w:val="none" w:sz="0" w:space="0" w:color="auto"/>
          </w:divBdr>
        </w:div>
        <w:div w:id="596209142">
          <w:marLeft w:val="0"/>
          <w:marRight w:val="0"/>
          <w:marTop w:val="100"/>
          <w:marBottom w:val="100"/>
          <w:divBdr>
            <w:top w:val="none" w:sz="0" w:space="0" w:color="auto"/>
            <w:left w:val="none" w:sz="0" w:space="0" w:color="auto"/>
            <w:bottom w:val="none" w:sz="0" w:space="0" w:color="auto"/>
            <w:right w:val="none" w:sz="0" w:space="0" w:color="auto"/>
          </w:divBdr>
        </w:div>
      </w:divsChild>
    </w:div>
    <w:div w:id="885068525">
      <w:bodyDiv w:val="1"/>
      <w:marLeft w:val="0"/>
      <w:marRight w:val="0"/>
      <w:marTop w:val="0"/>
      <w:marBottom w:val="0"/>
      <w:divBdr>
        <w:top w:val="none" w:sz="0" w:space="0" w:color="auto"/>
        <w:left w:val="none" w:sz="0" w:space="0" w:color="auto"/>
        <w:bottom w:val="none" w:sz="0" w:space="0" w:color="auto"/>
        <w:right w:val="none" w:sz="0" w:space="0" w:color="auto"/>
      </w:divBdr>
      <w:divsChild>
        <w:div w:id="1837456418">
          <w:marLeft w:val="0"/>
          <w:marRight w:val="0"/>
          <w:marTop w:val="100"/>
          <w:marBottom w:val="100"/>
          <w:divBdr>
            <w:top w:val="none" w:sz="0" w:space="0" w:color="auto"/>
            <w:left w:val="none" w:sz="0" w:space="0" w:color="auto"/>
            <w:bottom w:val="none" w:sz="0" w:space="0" w:color="auto"/>
            <w:right w:val="none" w:sz="0" w:space="0" w:color="auto"/>
          </w:divBdr>
        </w:div>
        <w:div w:id="549347462">
          <w:marLeft w:val="0"/>
          <w:marRight w:val="0"/>
          <w:marTop w:val="100"/>
          <w:marBottom w:val="100"/>
          <w:divBdr>
            <w:top w:val="none" w:sz="0" w:space="0" w:color="auto"/>
            <w:left w:val="none" w:sz="0" w:space="0" w:color="auto"/>
            <w:bottom w:val="none" w:sz="0" w:space="0" w:color="auto"/>
            <w:right w:val="none" w:sz="0" w:space="0" w:color="auto"/>
          </w:divBdr>
        </w:div>
        <w:div w:id="487013293">
          <w:marLeft w:val="0"/>
          <w:marRight w:val="0"/>
          <w:marTop w:val="100"/>
          <w:marBottom w:val="100"/>
          <w:divBdr>
            <w:top w:val="none" w:sz="0" w:space="0" w:color="auto"/>
            <w:left w:val="none" w:sz="0" w:space="0" w:color="auto"/>
            <w:bottom w:val="none" w:sz="0" w:space="0" w:color="auto"/>
            <w:right w:val="none" w:sz="0" w:space="0" w:color="auto"/>
          </w:divBdr>
        </w:div>
        <w:div w:id="57213538">
          <w:marLeft w:val="0"/>
          <w:marRight w:val="0"/>
          <w:marTop w:val="100"/>
          <w:marBottom w:val="100"/>
          <w:divBdr>
            <w:top w:val="none" w:sz="0" w:space="0" w:color="auto"/>
            <w:left w:val="none" w:sz="0" w:space="0" w:color="auto"/>
            <w:bottom w:val="none" w:sz="0" w:space="0" w:color="auto"/>
            <w:right w:val="none" w:sz="0" w:space="0" w:color="auto"/>
          </w:divBdr>
        </w:div>
        <w:div w:id="1962685058">
          <w:marLeft w:val="0"/>
          <w:marRight w:val="0"/>
          <w:marTop w:val="100"/>
          <w:marBottom w:val="100"/>
          <w:divBdr>
            <w:top w:val="none" w:sz="0" w:space="0" w:color="auto"/>
            <w:left w:val="none" w:sz="0" w:space="0" w:color="auto"/>
            <w:bottom w:val="none" w:sz="0" w:space="0" w:color="auto"/>
            <w:right w:val="none" w:sz="0" w:space="0" w:color="auto"/>
          </w:divBdr>
        </w:div>
        <w:div w:id="708070871">
          <w:marLeft w:val="0"/>
          <w:marRight w:val="0"/>
          <w:marTop w:val="100"/>
          <w:marBottom w:val="100"/>
          <w:divBdr>
            <w:top w:val="none" w:sz="0" w:space="0" w:color="auto"/>
            <w:left w:val="none" w:sz="0" w:space="0" w:color="auto"/>
            <w:bottom w:val="none" w:sz="0" w:space="0" w:color="auto"/>
            <w:right w:val="none" w:sz="0" w:space="0" w:color="auto"/>
          </w:divBdr>
        </w:div>
        <w:div w:id="128234401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F5747-A20E-8343-AC39-41F40566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608</Words>
  <Characters>3471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Chokshi</dc:creator>
  <cp:lastModifiedBy>Kiri Oliver</cp:lastModifiedBy>
  <cp:revision>2</cp:revision>
  <dcterms:created xsi:type="dcterms:W3CDTF">2013-01-22T19:31:00Z</dcterms:created>
  <dcterms:modified xsi:type="dcterms:W3CDTF">2013-01-22T19:31:00Z</dcterms:modified>
</cp:coreProperties>
</file>